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6F3062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6F3062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6F3062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49BB0295" w:rsidR="00E00748" w:rsidRPr="006F3062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 w:rsidRPr="006F3062">
        <w:rPr>
          <w:rFonts w:ascii="Arial" w:hAnsi="Arial" w:cs="Arial"/>
          <w:b/>
        </w:rPr>
        <w:t xml:space="preserve">                    </w:t>
      </w:r>
      <w:r w:rsidR="00E00748" w:rsidRPr="006F3062">
        <w:rPr>
          <w:rFonts w:ascii="Arial" w:hAnsi="Arial" w:cs="Arial"/>
          <w:b/>
        </w:rPr>
        <w:t>LEI Nº. 1.9</w:t>
      </w:r>
      <w:r w:rsidR="006F3062" w:rsidRPr="006F3062">
        <w:rPr>
          <w:rFonts w:ascii="Arial" w:hAnsi="Arial" w:cs="Arial"/>
          <w:b/>
        </w:rPr>
        <w:t>8</w:t>
      </w:r>
      <w:r w:rsidR="00AC301D">
        <w:rPr>
          <w:rFonts w:ascii="Arial" w:hAnsi="Arial" w:cs="Arial"/>
          <w:b/>
        </w:rPr>
        <w:t>1</w:t>
      </w:r>
      <w:r w:rsidR="00E00748" w:rsidRPr="006F3062">
        <w:rPr>
          <w:rFonts w:ascii="Arial" w:hAnsi="Arial" w:cs="Arial"/>
          <w:b/>
        </w:rPr>
        <w:t xml:space="preserve"> DE </w:t>
      </w:r>
      <w:r w:rsidR="006F3062" w:rsidRPr="006F3062">
        <w:rPr>
          <w:rFonts w:ascii="Arial" w:hAnsi="Arial" w:cs="Arial"/>
          <w:b/>
        </w:rPr>
        <w:t>26</w:t>
      </w:r>
      <w:r w:rsidR="00E00748" w:rsidRPr="006F3062">
        <w:rPr>
          <w:rFonts w:ascii="Arial" w:hAnsi="Arial" w:cs="Arial"/>
          <w:b/>
        </w:rPr>
        <w:t xml:space="preserve"> DE </w:t>
      </w:r>
      <w:r w:rsidR="009112AE" w:rsidRPr="006F3062">
        <w:rPr>
          <w:rFonts w:ascii="Arial" w:hAnsi="Arial" w:cs="Arial"/>
          <w:b/>
        </w:rPr>
        <w:t>ABRIL</w:t>
      </w:r>
      <w:r w:rsidR="00E00748" w:rsidRPr="006F3062">
        <w:rPr>
          <w:rFonts w:ascii="Arial" w:hAnsi="Arial" w:cs="Arial"/>
          <w:b/>
        </w:rPr>
        <w:t xml:space="preserve"> DE 202</w:t>
      </w:r>
      <w:r w:rsidR="00FF2007" w:rsidRPr="006F3062">
        <w:rPr>
          <w:rFonts w:ascii="Arial" w:hAnsi="Arial" w:cs="Arial"/>
          <w:b/>
        </w:rPr>
        <w:t>3</w:t>
      </w:r>
      <w:r w:rsidR="00E00748" w:rsidRPr="006F3062">
        <w:rPr>
          <w:rFonts w:ascii="Arial" w:hAnsi="Arial" w:cs="Arial"/>
          <w:b/>
        </w:rPr>
        <w:t>.</w:t>
      </w:r>
    </w:p>
    <w:p w14:paraId="07840A77" w14:textId="67C9F0F4" w:rsidR="005277DA" w:rsidRPr="006F3062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57646DF1" w14:textId="77777777" w:rsidR="00F7465C" w:rsidRPr="006F3062" w:rsidRDefault="00F7465C" w:rsidP="00F7465C">
      <w:pPr>
        <w:rPr>
          <w:rFonts w:ascii="Arial" w:eastAsia="Calibri" w:hAnsi="Arial" w:cs="Arial"/>
        </w:rPr>
      </w:pPr>
    </w:p>
    <w:p w14:paraId="7CA35E58" w14:textId="2267553D" w:rsidR="00AC301D" w:rsidRDefault="00AC301D" w:rsidP="00F7465C">
      <w:pPr>
        <w:tabs>
          <w:tab w:val="left" w:pos="3969"/>
        </w:tabs>
        <w:ind w:left="4536"/>
        <w:jc w:val="both"/>
        <w:rPr>
          <w:rFonts w:ascii="Arial" w:hAnsi="Arial" w:cs="Arial"/>
          <w:b/>
          <w:bCs/>
        </w:rPr>
      </w:pPr>
      <w:r w:rsidRPr="0078375B">
        <w:rPr>
          <w:rFonts w:ascii="Arial" w:hAnsi="Arial" w:cs="Arial"/>
          <w:b/>
        </w:rPr>
        <w:t>“AUTORIZA O PODER EXECUTIVO MUNICIPAL A PROMOVER CAMPANHA DE ESTÍMULO À ARRECADAÇÃO DO IMPOSTO SOBRE A PROPRIEDADE PREDIAL E TERRITORIAL URBANA - IPTU, E TAXA DE LIMPEZA PUBLICA, MEDIANTE REALIZAÇÃO DE SORTEIOS DE PRÊMIOS, COMO MEIO DE AUXILIAR A FISCALIZAÇÃO E MELHORAR A ARRECADAÇÃO DE TRIBUTOS MUNICIPAIS E DÁ OUTRAS PROVIDÊNCIAS”.</w:t>
      </w:r>
    </w:p>
    <w:p w14:paraId="3A5A4ACF" w14:textId="77777777" w:rsidR="006F3062" w:rsidRDefault="006F3062" w:rsidP="00F7465C">
      <w:pPr>
        <w:tabs>
          <w:tab w:val="left" w:pos="3969"/>
        </w:tabs>
        <w:ind w:left="4536"/>
        <w:jc w:val="both"/>
        <w:rPr>
          <w:rFonts w:ascii="Arial" w:hAnsi="Arial" w:cs="Arial"/>
          <w:b/>
          <w:bCs/>
        </w:rPr>
      </w:pPr>
    </w:p>
    <w:p w14:paraId="4FDBD54F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  <w:bCs/>
        </w:rPr>
        <w:t>OSMAR FRONER DE MELLO</w:t>
      </w:r>
      <w:r w:rsidRPr="0078375B">
        <w:rPr>
          <w:rFonts w:ascii="Arial" w:hAnsi="Arial" w:cs="Arial"/>
        </w:rPr>
        <w:t>, Prefeito Municipal de Chapada dos Guimarães, Estado de Mato Grosso, no uso das atribuições que lhe são conferidas por Lei, faz saber que a</w:t>
      </w:r>
      <w:r w:rsidRPr="0078375B">
        <w:rPr>
          <w:rFonts w:ascii="Arial" w:hAnsi="Arial" w:cs="Arial"/>
          <w:spacing w:val="1"/>
        </w:rPr>
        <w:t xml:space="preserve"> </w:t>
      </w:r>
      <w:r w:rsidRPr="0078375B">
        <w:rPr>
          <w:rFonts w:ascii="Arial" w:hAnsi="Arial" w:cs="Arial"/>
        </w:rPr>
        <w:t xml:space="preserve">Câmara Municipal de Chapada dos Guimarães – MT, aprova e ele </w:t>
      </w:r>
      <w:r w:rsidRPr="0078375B">
        <w:rPr>
          <w:rFonts w:ascii="Arial" w:hAnsi="Arial" w:cs="Arial"/>
          <w:b/>
        </w:rPr>
        <w:t xml:space="preserve">sanciona </w:t>
      </w:r>
      <w:r w:rsidRPr="0078375B">
        <w:rPr>
          <w:rFonts w:ascii="Arial" w:hAnsi="Arial" w:cs="Arial"/>
        </w:rPr>
        <w:t>a</w:t>
      </w:r>
      <w:r w:rsidRPr="0078375B">
        <w:rPr>
          <w:rFonts w:ascii="Arial" w:hAnsi="Arial" w:cs="Arial"/>
          <w:spacing w:val="1"/>
        </w:rPr>
        <w:t xml:space="preserve"> </w:t>
      </w:r>
      <w:r w:rsidRPr="0078375B">
        <w:rPr>
          <w:rFonts w:ascii="Arial" w:hAnsi="Arial" w:cs="Arial"/>
        </w:rPr>
        <w:t>seguinte</w:t>
      </w:r>
      <w:r w:rsidRPr="0078375B">
        <w:rPr>
          <w:rFonts w:ascii="Arial" w:hAnsi="Arial" w:cs="Arial"/>
          <w:spacing w:val="-2"/>
        </w:rPr>
        <w:t xml:space="preserve"> </w:t>
      </w:r>
      <w:r w:rsidRPr="0078375B">
        <w:rPr>
          <w:rFonts w:ascii="Arial" w:hAnsi="Arial" w:cs="Arial"/>
        </w:rPr>
        <w:t>Lei:</w:t>
      </w:r>
    </w:p>
    <w:p w14:paraId="3F931C2E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ACDA72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1°-</w:t>
      </w:r>
      <w:r w:rsidRPr="0078375B">
        <w:rPr>
          <w:rFonts w:ascii="Arial" w:hAnsi="Arial" w:cs="Arial"/>
        </w:rPr>
        <w:t xml:space="preserve"> Fica o Poder Executivo Municipal autorizado a promover anualmente campanha de estímulo à arrecadação do Imposto Sobre a Propriedade Predial e Territorial Urbano – IPTU e Taxa de </w:t>
      </w:r>
      <w:r>
        <w:rPr>
          <w:rFonts w:ascii="Arial" w:hAnsi="Arial" w:cs="Arial"/>
        </w:rPr>
        <w:t>Coleta de Lixo Domiciliar</w:t>
      </w:r>
      <w:r w:rsidRPr="0078375B">
        <w:rPr>
          <w:rFonts w:ascii="Arial" w:hAnsi="Arial" w:cs="Arial"/>
        </w:rPr>
        <w:t xml:space="preserve">, através do </w:t>
      </w:r>
      <w:r w:rsidRPr="0078375B">
        <w:rPr>
          <w:rFonts w:ascii="Arial" w:hAnsi="Arial" w:cs="Arial"/>
          <w:b/>
        </w:rPr>
        <w:t>Programa “IPTU Premiado”,</w:t>
      </w:r>
      <w:r w:rsidRPr="0078375B">
        <w:rPr>
          <w:rFonts w:ascii="Arial" w:hAnsi="Arial" w:cs="Arial"/>
        </w:rPr>
        <w:t xml:space="preserve"> com objetivo de diminuir a inadimplência do imposto e privilegiar os contribuintes que pagam seus impostos dentro do prazo de vencimento do aludido tributo.</w:t>
      </w:r>
    </w:p>
    <w:p w14:paraId="4744F0B3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§ 1º. </w:t>
      </w:r>
      <w:r w:rsidRPr="0078375B">
        <w:rPr>
          <w:rFonts w:ascii="Arial" w:hAnsi="Arial" w:cs="Arial"/>
        </w:rPr>
        <w:t xml:space="preserve">Será destinado ao custeio do programa o equivalente a até 10% (dez por cento) dos valores arrecadados com os tributos citados no caput deste artigo, referente ao exercício anterior, para a aquisição dos prêmios a serem sorteados. </w:t>
      </w:r>
    </w:p>
    <w:p w14:paraId="3AD2E017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§ 2º.  </w:t>
      </w:r>
      <w:r w:rsidRPr="0078375B">
        <w:rPr>
          <w:rFonts w:ascii="Arial" w:hAnsi="Arial" w:cs="Arial"/>
        </w:rPr>
        <w:t xml:space="preserve"> Os recursos necessários à aquisição dos bens móveis a serem sorteados provirão:</w:t>
      </w:r>
    </w:p>
    <w:p w14:paraId="46EB9CC2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</w:rPr>
        <w:t xml:space="preserve">I - </w:t>
      </w:r>
      <w:proofErr w:type="gramStart"/>
      <w:r w:rsidRPr="0078375B">
        <w:rPr>
          <w:rFonts w:ascii="Arial" w:hAnsi="Arial" w:cs="Arial"/>
        </w:rPr>
        <w:t>do</w:t>
      </w:r>
      <w:proofErr w:type="gramEnd"/>
      <w:r w:rsidRPr="0078375B">
        <w:rPr>
          <w:rFonts w:ascii="Arial" w:hAnsi="Arial" w:cs="Arial"/>
        </w:rPr>
        <w:t xml:space="preserve"> Erário Municipal;</w:t>
      </w:r>
    </w:p>
    <w:p w14:paraId="57E9A67A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</w:rPr>
        <w:t xml:space="preserve">II - </w:t>
      </w:r>
      <w:proofErr w:type="gramStart"/>
      <w:r w:rsidRPr="0078375B">
        <w:rPr>
          <w:rFonts w:ascii="Arial" w:hAnsi="Arial" w:cs="Arial"/>
        </w:rPr>
        <w:t>do</w:t>
      </w:r>
      <w:proofErr w:type="gramEnd"/>
      <w:r w:rsidRPr="0078375B">
        <w:rPr>
          <w:rFonts w:ascii="Arial" w:hAnsi="Arial" w:cs="Arial"/>
        </w:rPr>
        <w:t xml:space="preserve"> setor privado, mediante doação; ou</w:t>
      </w:r>
    </w:p>
    <w:p w14:paraId="39A474A8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</w:rPr>
        <w:t>III - de outros órgãos ou esferas da Administração Pública, mediante convênio.</w:t>
      </w:r>
    </w:p>
    <w:p w14:paraId="751C1ECE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2º</w:t>
      </w:r>
      <w:r w:rsidRPr="0078375B">
        <w:rPr>
          <w:rFonts w:ascii="Arial" w:hAnsi="Arial" w:cs="Arial"/>
        </w:rPr>
        <w:t xml:space="preserve"> - O sorteio ocorrerá anualmente, em data, local e condições definidas pelo Poder Executivo, mediante Decreto.</w:t>
      </w:r>
    </w:p>
    <w:p w14:paraId="52D6B381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3°-</w:t>
      </w:r>
      <w:r w:rsidRPr="0078375B">
        <w:rPr>
          <w:rFonts w:ascii="Arial" w:hAnsi="Arial" w:cs="Arial"/>
        </w:rPr>
        <w:t xml:space="preserve"> Os participantes do programa de que trata o artigo primeiro, serão premiados com base nas informações e dados do(s) imóvel(</w:t>
      </w:r>
      <w:proofErr w:type="spellStart"/>
      <w:r w:rsidRPr="0078375B">
        <w:rPr>
          <w:rFonts w:ascii="Arial" w:hAnsi="Arial" w:cs="Arial"/>
        </w:rPr>
        <w:t>is</w:t>
      </w:r>
      <w:proofErr w:type="spellEnd"/>
      <w:r w:rsidRPr="0078375B">
        <w:rPr>
          <w:rFonts w:ascii="Arial" w:hAnsi="Arial" w:cs="Arial"/>
        </w:rPr>
        <w:t xml:space="preserve">) constante no Cadastro Imobiliário da Secretaria de </w:t>
      </w:r>
      <w:r>
        <w:rPr>
          <w:rFonts w:ascii="Arial" w:hAnsi="Arial" w:cs="Arial"/>
        </w:rPr>
        <w:t>Planejamento e Orçamento</w:t>
      </w:r>
      <w:r w:rsidRPr="0078375B">
        <w:rPr>
          <w:rFonts w:ascii="Arial" w:hAnsi="Arial" w:cs="Arial"/>
        </w:rPr>
        <w:t>, mediante a realização de sorteios.</w:t>
      </w:r>
    </w:p>
    <w:p w14:paraId="11B140A5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4°-</w:t>
      </w:r>
      <w:r w:rsidRPr="0078375B">
        <w:rPr>
          <w:rFonts w:ascii="Arial" w:hAnsi="Arial" w:cs="Arial"/>
        </w:rPr>
        <w:t xml:space="preserve"> Os sorteios serão realizados em conformidade com as disposições estabelecidas na legislação pertinente à matéria, através de operacionalização, emissão das autorizações e da fiscalização das atividades de distribuição gratuita de prêmios, em data a ser pré-estabelecida em Regulamento.</w:t>
      </w:r>
    </w:p>
    <w:p w14:paraId="5809B92E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5° -</w:t>
      </w:r>
      <w:r w:rsidRPr="0078375B">
        <w:rPr>
          <w:rFonts w:ascii="Arial" w:hAnsi="Arial" w:cs="Arial"/>
        </w:rPr>
        <w:t xml:space="preserve"> Participarão do sorteio, única e exclusivamente, os proprietários ou possuidores de imóvel a qualquer título que comprovarem a quitação total dos </w:t>
      </w:r>
      <w:proofErr w:type="spellStart"/>
      <w:r w:rsidRPr="0078375B">
        <w:rPr>
          <w:rFonts w:ascii="Arial" w:hAnsi="Arial" w:cs="Arial"/>
        </w:rPr>
        <w:t>IPTU´s</w:t>
      </w:r>
      <w:proofErr w:type="spellEnd"/>
      <w:r w:rsidRPr="0078375B">
        <w:rPr>
          <w:rFonts w:ascii="Arial" w:hAnsi="Arial" w:cs="Arial"/>
        </w:rPr>
        <w:t>, seja em cota única ou em parcelas, até a data de vencimento fixado.</w:t>
      </w:r>
    </w:p>
    <w:p w14:paraId="7FC7CFCC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AA39BEE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7E66623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6D50EA2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FE610D1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D4408CC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A78A86F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F83F0E9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E07B4CB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811FF3E" w14:textId="63BE13BA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Parágrafo Único</w:t>
      </w:r>
      <w:r w:rsidRPr="0078375B">
        <w:rPr>
          <w:rFonts w:ascii="Arial" w:hAnsi="Arial" w:cs="Arial"/>
        </w:rPr>
        <w:t xml:space="preserve"> - Participarão dos sorteios, os contribuintes em dia com o IPTU dos exercícios anteriores, portadores de cupom para sorteio relacionado ao imóvel predial ou territorial, em que o número sequencial do cupom possa ser identificado através dos arquivos eletrônicos da </w:t>
      </w:r>
      <w:r>
        <w:rPr>
          <w:rFonts w:ascii="Arial" w:hAnsi="Arial" w:cs="Arial"/>
        </w:rPr>
        <w:t>Setor de Tributação</w:t>
      </w:r>
      <w:r w:rsidRPr="0078375B">
        <w:rPr>
          <w:rFonts w:ascii="Arial" w:hAnsi="Arial" w:cs="Arial"/>
        </w:rPr>
        <w:t>.</w:t>
      </w:r>
    </w:p>
    <w:p w14:paraId="3579A5B8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6°-</w:t>
      </w:r>
      <w:r w:rsidRPr="0078375B">
        <w:rPr>
          <w:rFonts w:ascii="Arial" w:hAnsi="Arial" w:cs="Arial"/>
        </w:rPr>
        <w:t xml:space="preserve"> O contribuinte sorteado deverá apresentar os documentos de arrecadação devidamente quitados na data do vencimento, referente ao(s) seu(s) imóvel(</w:t>
      </w:r>
      <w:proofErr w:type="spellStart"/>
      <w:r w:rsidRPr="0078375B">
        <w:rPr>
          <w:rFonts w:ascii="Arial" w:hAnsi="Arial" w:cs="Arial"/>
        </w:rPr>
        <w:t>is</w:t>
      </w:r>
      <w:proofErr w:type="spellEnd"/>
      <w:r w:rsidRPr="0078375B">
        <w:rPr>
          <w:rFonts w:ascii="Arial" w:hAnsi="Arial" w:cs="Arial"/>
        </w:rPr>
        <w:t xml:space="preserve">), caso contrário, será automaticamente desclassificado da promoção, devendo ser efetuado novo sorteio até que seja sorteado um contribuinte que atenda as condições previstas nesta Lei e no Regulamento. </w:t>
      </w:r>
    </w:p>
    <w:p w14:paraId="16D76687" w14:textId="77777777" w:rsidR="00AC301D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Art. 7°- </w:t>
      </w:r>
      <w:r w:rsidRPr="0078375B">
        <w:rPr>
          <w:rFonts w:ascii="Arial" w:hAnsi="Arial" w:cs="Arial"/>
        </w:rPr>
        <w:t xml:space="preserve">Fica excluído do sorteio: </w:t>
      </w:r>
    </w:p>
    <w:p w14:paraId="608504FC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Inciso I:</w:t>
      </w:r>
      <w:r w:rsidRPr="0078375B">
        <w:rPr>
          <w:rFonts w:ascii="Arial" w:hAnsi="Arial" w:cs="Arial"/>
        </w:rPr>
        <w:t xml:space="preserve"> aquele que por disposição legal estiver isento</w:t>
      </w:r>
      <w:r>
        <w:rPr>
          <w:rFonts w:ascii="Arial" w:hAnsi="Arial" w:cs="Arial"/>
        </w:rPr>
        <w:t xml:space="preserve"> ou imune</w:t>
      </w:r>
      <w:r w:rsidRPr="0078375B">
        <w:rPr>
          <w:rFonts w:ascii="Arial" w:hAnsi="Arial" w:cs="Arial"/>
        </w:rPr>
        <w:t xml:space="preserve"> do Imposto Predial e Territorial Urbano. </w:t>
      </w:r>
    </w:p>
    <w:p w14:paraId="6A1D1D5F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Inciso II:</w:t>
      </w:r>
      <w:r w:rsidRPr="0078375B">
        <w:rPr>
          <w:rFonts w:ascii="Arial" w:hAnsi="Arial" w:cs="Arial"/>
        </w:rPr>
        <w:t xml:space="preserve"> os proprietários ou possuidores de imóveis cuja cobrança do IPTU estiver em pendência judicial ou administrativa relativas aos exercícios anteriores, exceto aqueles que comprovarem o seu recolhimento dentro do prazo estipulado no carnê ou boleto bancário.</w:t>
      </w:r>
    </w:p>
    <w:p w14:paraId="79FCBFF1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8°</w:t>
      </w:r>
      <w:r w:rsidRPr="0078375B">
        <w:rPr>
          <w:rFonts w:ascii="Arial" w:hAnsi="Arial" w:cs="Arial"/>
        </w:rPr>
        <w:t xml:space="preserve"> - Fica o Poder Executivo autorizado a celebrar contratos ou convênios/parceria com instituições ou empresas, para promover a campanha com vistas à divulgação e popularização do Programa.</w:t>
      </w:r>
    </w:p>
    <w:p w14:paraId="705C791C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Art. 9°- </w:t>
      </w:r>
      <w:r w:rsidRPr="0078375B">
        <w:rPr>
          <w:rFonts w:ascii="Arial" w:hAnsi="Arial" w:cs="Arial"/>
        </w:rPr>
        <w:t>Os prêmios serão entregues aos contemplados mediante a assinatura do correspondente recibo, apresentação de documento de identidade e de documentos que comprovem o preenchimento das condições desta lei que serão examinados pela Comissão Organizadora.</w:t>
      </w:r>
      <w:r w:rsidRPr="0078375B">
        <w:rPr>
          <w:rFonts w:ascii="Arial" w:hAnsi="Arial" w:cs="Arial"/>
          <w:b/>
        </w:rPr>
        <w:t xml:space="preserve"> </w:t>
      </w:r>
    </w:p>
    <w:p w14:paraId="269F0B0E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§ 1º. </w:t>
      </w:r>
      <w:r w:rsidRPr="0078375B">
        <w:rPr>
          <w:rFonts w:ascii="Arial" w:hAnsi="Arial" w:cs="Arial"/>
        </w:rPr>
        <w:t xml:space="preserve">A partir do primeiro dia útil após a realização do sorteio, o contemplado deverá apresentar os documentos necessários à Comissão Organizadora que examinará os requisitos desta lei bem como a validação do carnê de pagamento. </w:t>
      </w:r>
    </w:p>
    <w:p w14:paraId="3E77D082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§ 2º. </w:t>
      </w:r>
      <w:r w:rsidRPr="0078375B">
        <w:rPr>
          <w:rFonts w:ascii="Arial" w:hAnsi="Arial" w:cs="Arial"/>
        </w:rPr>
        <w:t xml:space="preserve">Os prêmios não reclamados em até 90 (noventa) dias após a realização do sorteio será incorporado ao patrimônio público municipal. </w:t>
      </w:r>
    </w:p>
    <w:p w14:paraId="1586DC74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Art. 10. </w:t>
      </w:r>
      <w:r w:rsidRPr="0078375B">
        <w:rPr>
          <w:rFonts w:ascii="Arial" w:hAnsi="Arial" w:cs="Arial"/>
        </w:rPr>
        <w:t xml:space="preserve">Constitui pré-requisito obrigatório para o recebimento do prêmio a prévia autorização para veiculação da imagem dos vencedores nos meios de comunicação a critério do Município de </w:t>
      </w:r>
      <w:r>
        <w:rPr>
          <w:rFonts w:ascii="Arial" w:hAnsi="Arial" w:cs="Arial"/>
        </w:rPr>
        <w:t>Chapada dos Guimarães</w:t>
      </w:r>
      <w:r w:rsidRPr="0078375B">
        <w:rPr>
          <w:rFonts w:ascii="Arial" w:hAnsi="Arial" w:cs="Arial"/>
        </w:rPr>
        <w:t xml:space="preserve"> Estado de Mato Grosso.</w:t>
      </w:r>
      <w:r w:rsidRPr="0078375B">
        <w:rPr>
          <w:rFonts w:ascii="Arial" w:hAnsi="Arial" w:cs="Arial"/>
          <w:b/>
        </w:rPr>
        <w:t xml:space="preserve"> </w:t>
      </w:r>
    </w:p>
    <w:p w14:paraId="71C3FDB8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Parágrafo Único. </w:t>
      </w:r>
      <w:r w:rsidRPr="0078375B">
        <w:rPr>
          <w:rFonts w:ascii="Arial" w:hAnsi="Arial" w:cs="Arial"/>
        </w:rPr>
        <w:t xml:space="preserve">A falta de autorização do ganhador o excluirá automaticamente da premiação, sendo realizado novo sorteio. </w:t>
      </w:r>
    </w:p>
    <w:p w14:paraId="06E962CD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Art. 11 - </w:t>
      </w:r>
      <w:r w:rsidRPr="0078375B">
        <w:rPr>
          <w:rFonts w:ascii="Arial" w:hAnsi="Arial" w:cs="Arial"/>
        </w:rPr>
        <w:t>Será constituída uma Comissão Organizadora a qual competirá:</w:t>
      </w:r>
      <w:r w:rsidRPr="0078375B">
        <w:rPr>
          <w:rFonts w:ascii="Arial" w:hAnsi="Arial" w:cs="Arial"/>
          <w:b/>
        </w:rPr>
        <w:t xml:space="preserve"> </w:t>
      </w:r>
    </w:p>
    <w:p w14:paraId="427FF5C4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Inciso I: </w:t>
      </w:r>
      <w:r w:rsidRPr="0078375B">
        <w:rPr>
          <w:rFonts w:ascii="Arial" w:hAnsi="Arial" w:cs="Arial"/>
        </w:rPr>
        <w:t>a coordenação do sorteio, bem como, fiscalização;</w:t>
      </w:r>
      <w:r w:rsidRPr="0078375B">
        <w:rPr>
          <w:rFonts w:ascii="Arial" w:hAnsi="Arial" w:cs="Arial"/>
          <w:b/>
        </w:rPr>
        <w:t xml:space="preserve"> </w:t>
      </w:r>
    </w:p>
    <w:p w14:paraId="420428E2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Inciso II: </w:t>
      </w:r>
      <w:r w:rsidRPr="0078375B">
        <w:rPr>
          <w:rFonts w:ascii="Arial" w:hAnsi="Arial" w:cs="Arial"/>
        </w:rPr>
        <w:t>verificação de documentos;</w:t>
      </w:r>
      <w:r w:rsidRPr="0078375B">
        <w:rPr>
          <w:rFonts w:ascii="Arial" w:hAnsi="Arial" w:cs="Arial"/>
          <w:b/>
        </w:rPr>
        <w:t xml:space="preserve"> </w:t>
      </w:r>
    </w:p>
    <w:p w14:paraId="34A14749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Inciso III: </w:t>
      </w:r>
      <w:r w:rsidRPr="0078375B">
        <w:rPr>
          <w:rFonts w:ascii="Arial" w:hAnsi="Arial" w:cs="Arial"/>
        </w:rPr>
        <w:t xml:space="preserve">julgamento de casos omissos para entrega de prêmios. </w:t>
      </w:r>
    </w:p>
    <w:p w14:paraId="2A38858D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§ 1º. </w:t>
      </w:r>
      <w:r w:rsidRPr="0078375B">
        <w:rPr>
          <w:rFonts w:ascii="Arial" w:hAnsi="Arial" w:cs="Arial"/>
        </w:rPr>
        <w:t>A Comissão de Organização da Campanha e Sorteio será composta por 05 (cinco) membros que serão nomeados pelo Prefeito Municipal, através de Decreto.</w:t>
      </w:r>
    </w:p>
    <w:p w14:paraId="55683761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Art. 12 - </w:t>
      </w:r>
      <w:r w:rsidRPr="0078375B">
        <w:rPr>
          <w:rFonts w:ascii="Arial" w:hAnsi="Arial" w:cs="Arial"/>
        </w:rPr>
        <w:t>Os casos omissos serão decididos soberanamente pela Comissão Organizadora, cabendo recurso ao Prefeito Municipal da data da ciência da decisão impugnada.</w:t>
      </w:r>
    </w:p>
    <w:p w14:paraId="1A21772E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Art. 13 - </w:t>
      </w:r>
      <w:r w:rsidRPr="0078375B">
        <w:rPr>
          <w:rFonts w:ascii="Arial" w:hAnsi="Arial" w:cs="Arial"/>
        </w:rPr>
        <w:t xml:space="preserve">Não poderão participar dos sorteios: </w:t>
      </w:r>
    </w:p>
    <w:p w14:paraId="10E5EB9E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I – </w:t>
      </w:r>
      <w:r w:rsidRPr="0078375B">
        <w:rPr>
          <w:rFonts w:ascii="Arial" w:hAnsi="Arial" w:cs="Arial"/>
        </w:rPr>
        <w:t>o Prefeito e o Vice-Prefeito;</w:t>
      </w:r>
      <w:r w:rsidRPr="0078375B">
        <w:rPr>
          <w:rFonts w:ascii="Arial" w:hAnsi="Arial" w:cs="Arial"/>
          <w:b/>
        </w:rPr>
        <w:t xml:space="preserve"> </w:t>
      </w:r>
    </w:p>
    <w:p w14:paraId="5F8CBFF3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8375B">
        <w:rPr>
          <w:rFonts w:ascii="Arial" w:hAnsi="Arial" w:cs="Arial"/>
          <w:b/>
        </w:rPr>
        <w:t xml:space="preserve">II – </w:t>
      </w:r>
      <w:proofErr w:type="gramStart"/>
      <w:r w:rsidRPr="0078375B">
        <w:rPr>
          <w:rFonts w:ascii="Arial" w:hAnsi="Arial" w:cs="Arial"/>
        </w:rPr>
        <w:t>os</w:t>
      </w:r>
      <w:proofErr w:type="gramEnd"/>
      <w:r w:rsidRPr="0078375B">
        <w:rPr>
          <w:rFonts w:ascii="Arial" w:hAnsi="Arial" w:cs="Arial"/>
        </w:rPr>
        <w:t xml:space="preserve"> (as) Secretários(as) Municipais;</w:t>
      </w:r>
    </w:p>
    <w:p w14:paraId="35ACA5EB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II – </w:t>
      </w:r>
      <w:proofErr w:type="gramStart"/>
      <w:r w:rsidRPr="0078375B">
        <w:rPr>
          <w:rFonts w:ascii="Arial" w:hAnsi="Arial" w:cs="Arial"/>
        </w:rPr>
        <w:t>os</w:t>
      </w:r>
      <w:proofErr w:type="gramEnd"/>
      <w:r w:rsidRPr="0078375B">
        <w:rPr>
          <w:rFonts w:ascii="Arial" w:hAnsi="Arial" w:cs="Arial"/>
        </w:rPr>
        <w:t xml:space="preserve"> (a)Vereadores (a). </w:t>
      </w:r>
    </w:p>
    <w:p w14:paraId="3B65FDA4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 xml:space="preserve">Art. 14 - </w:t>
      </w:r>
      <w:r w:rsidRPr="0078375B">
        <w:rPr>
          <w:rFonts w:ascii="Arial" w:hAnsi="Arial" w:cs="Arial"/>
        </w:rPr>
        <w:t xml:space="preserve">Não poderão ser objeto desta premiação os imóveis e ou móveis pertencentes ao patrimônio da União, do Estado e do Município, inclusive suas respectivas autarquias e fundações. </w:t>
      </w:r>
    </w:p>
    <w:p w14:paraId="61668693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A9D57C9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5802C84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E646779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EEE5293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CB3A800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8F9FFBC" w14:textId="77777777" w:rsidR="00FA3CAF" w:rsidRDefault="00FA3CAF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2C04B2D" w14:textId="5340D361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15</w:t>
      </w:r>
      <w:r w:rsidRPr="0078375B">
        <w:rPr>
          <w:rFonts w:ascii="Arial" w:hAnsi="Arial" w:cs="Arial"/>
        </w:rPr>
        <w:t xml:space="preserve"> - O Prefeito Municipal fixará, por Decreto, a regulamentação necessária à execução desta Lei. </w:t>
      </w:r>
    </w:p>
    <w:p w14:paraId="3610EBF1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16</w:t>
      </w:r>
      <w:r w:rsidRPr="0078375B">
        <w:rPr>
          <w:rFonts w:ascii="Arial" w:hAnsi="Arial" w:cs="Arial"/>
        </w:rPr>
        <w:t xml:space="preserve"> - As despesas decorrentes da aplicação desta Lei, correrão por conta das dotações orçamentárias próprias do orçamento do ano de realização dos Sorteios. </w:t>
      </w:r>
    </w:p>
    <w:p w14:paraId="42385A49" w14:textId="77777777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  <w:b/>
        </w:rPr>
        <w:t>Art. 17</w:t>
      </w:r>
      <w:r w:rsidRPr="0078375B">
        <w:rPr>
          <w:rFonts w:ascii="Arial" w:hAnsi="Arial" w:cs="Arial"/>
        </w:rPr>
        <w:t xml:space="preserve"> - Esta Lei entrará em vigor na data de sua publicação, ficando revogadas as disposições em contrário</w:t>
      </w:r>
      <w:r>
        <w:rPr>
          <w:rFonts w:ascii="Arial" w:hAnsi="Arial" w:cs="Arial"/>
        </w:rPr>
        <w:t>.</w:t>
      </w:r>
    </w:p>
    <w:p w14:paraId="06EC8547" w14:textId="77777777" w:rsidR="00AC301D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C1B7B4" w14:textId="0247D203" w:rsidR="00AC301D" w:rsidRPr="0078375B" w:rsidRDefault="00AC301D" w:rsidP="00AC301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375B">
        <w:rPr>
          <w:rFonts w:ascii="Arial" w:hAnsi="Arial" w:cs="Arial"/>
        </w:rPr>
        <w:t xml:space="preserve">Paço Municipal Pedro </w:t>
      </w:r>
      <w:proofErr w:type="spellStart"/>
      <w:r w:rsidRPr="0078375B">
        <w:rPr>
          <w:rFonts w:ascii="Arial" w:hAnsi="Arial" w:cs="Arial"/>
        </w:rPr>
        <w:t>Reindel</w:t>
      </w:r>
      <w:proofErr w:type="spellEnd"/>
      <w:r w:rsidRPr="0078375B">
        <w:rPr>
          <w:rFonts w:ascii="Arial" w:hAnsi="Arial" w:cs="Arial"/>
        </w:rPr>
        <w:t xml:space="preserve"> em Chapada dos Guimarães, </w:t>
      </w:r>
      <w:r w:rsidR="00FA3CAF">
        <w:rPr>
          <w:rFonts w:ascii="Arial" w:hAnsi="Arial" w:cs="Arial"/>
        </w:rPr>
        <w:t>26</w:t>
      </w:r>
      <w:r w:rsidRPr="0078375B">
        <w:rPr>
          <w:rFonts w:ascii="Arial" w:hAnsi="Arial" w:cs="Arial"/>
        </w:rPr>
        <w:t xml:space="preserve"> de abril de 2023.</w:t>
      </w:r>
    </w:p>
    <w:p w14:paraId="34B15619" w14:textId="77777777" w:rsidR="00AC301D" w:rsidRPr="0078375B" w:rsidRDefault="00AC301D" w:rsidP="00AC30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40D188" w14:textId="77777777" w:rsidR="00AC301D" w:rsidRPr="0078375B" w:rsidRDefault="00AC301D" w:rsidP="00AC301D">
      <w:pPr>
        <w:tabs>
          <w:tab w:val="left" w:pos="1050"/>
        </w:tabs>
        <w:jc w:val="both"/>
        <w:rPr>
          <w:rFonts w:ascii="Arial" w:hAnsi="Arial" w:cs="Arial"/>
        </w:rPr>
      </w:pPr>
    </w:p>
    <w:p w14:paraId="5BB2F6B7" w14:textId="77777777" w:rsidR="00AC301D" w:rsidRPr="0078375B" w:rsidRDefault="00AC301D" w:rsidP="00AC301D">
      <w:pPr>
        <w:tabs>
          <w:tab w:val="left" w:pos="1050"/>
        </w:tabs>
        <w:jc w:val="center"/>
        <w:rPr>
          <w:rFonts w:ascii="Arial" w:hAnsi="Arial" w:cs="Arial"/>
        </w:rPr>
      </w:pPr>
    </w:p>
    <w:p w14:paraId="7BAFC00A" w14:textId="77777777" w:rsidR="00AC301D" w:rsidRPr="0078375B" w:rsidRDefault="00AC301D" w:rsidP="00AC301D">
      <w:pPr>
        <w:jc w:val="center"/>
        <w:rPr>
          <w:rFonts w:ascii="Arial" w:hAnsi="Arial" w:cs="Arial"/>
          <w:b/>
        </w:rPr>
      </w:pPr>
      <w:r w:rsidRPr="0078375B">
        <w:rPr>
          <w:rFonts w:ascii="Arial" w:hAnsi="Arial" w:cs="Arial"/>
          <w:b/>
        </w:rPr>
        <w:t>OSMAR FRONER DE MELLO</w:t>
      </w:r>
    </w:p>
    <w:p w14:paraId="20673F9D" w14:textId="77777777" w:rsidR="00AC301D" w:rsidRPr="0078375B" w:rsidRDefault="00AC301D" w:rsidP="00AC301D">
      <w:pPr>
        <w:jc w:val="center"/>
        <w:rPr>
          <w:rFonts w:ascii="Arial" w:hAnsi="Arial" w:cs="Arial"/>
        </w:rPr>
      </w:pPr>
      <w:r w:rsidRPr="0078375B">
        <w:rPr>
          <w:rFonts w:ascii="Arial" w:hAnsi="Arial" w:cs="Arial"/>
        </w:rPr>
        <w:t>Prefeito Municipal</w:t>
      </w:r>
    </w:p>
    <w:p w14:paraId="2C455251" w14:textId="77777777" w:rsidR="006F3062" w:rsidRPr="006F3062" w:rsidRDefault="006F3062" w:rsidP="00F7465C">
      <w:pPr>
        <w:tabs>
          <w:tab w:val="left" w:pos="3969"/>
        </w:tabs>
        <w:ind w:left="4536"/>
        <w:jc w:val="both"/>
        <w:rPr>
          <w:rFonts w:ascii="Arial" w:eastAsia="Calibri" w:hAnsi="Arial" w:cs="Arial"/>
          <w:b/>
          <w:bCs/>
        </w:rPr>
      </w:pPr>
    </w:p>
    <w:sectPr w:rsidR="006F3062" w:rsidRPr="006F3062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6E23" w14:textId="77777777" w:rsidR="005B2AC2" w:rsidRDefault="005B2AC2">
      <w:r>
        <w:separator/>
      </w:r>
    </w:p>
  </w:endnote>
  <w:endnote w:type="continuationSeparator" w:id="0">
    <w:p w14:paraId="7317EBE4" w14:textId="77777777" w:rsidR="005B2AC2" w:rsidRDefault="005B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5266" w14:textId="77777777" w:rsidR="005B2AC2" w:rsidRDefault="005B2AC2">
      <w:r>
        <w:separator/>
      </w:r>
    </w:p>
  </w:footnote>
  <w:footnote w:type="continuationSeparator" w:id="0">
    <w:p w14:paraId="10D44144" w14:textId="77777777" w:rsidR="005B2AC2" w:rsidRDefault="005B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38A2"/>
    <w:rsid w:val="001475AE"/>
    <w:rsid w:val="001526EC"/>
    <w:rsid w:val="0016588F"/>
    <w:rsid w:val="00165A5E"/>
    <w:rsid w:val="001746B1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62AA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E5D80"/>
    <w:rsid w:val="004F104F"/>
    <w:rsid w:val="004F27AF"/>
    <w:rsid w:val="004F2A78"/>
    <w:rsid w:val="004F63F6"/>
    <w:rsid w:val="005277DA"/>
    <w:rsid w:val="00527FD4"/>
    <w:rsid w:val="00536FCA"/>
    <w:rsid w:val="00543C1A"/>
    <w:rsid w:val="005901A1"/>
    <w:rsid w:val="005B2AC2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6F3062"/>
    <w:rsid w:val="007040E3"/>
    <w:rsid w:val="00721E1B"/>
    <w:rsid w:val="0076270E"/>
    <w:rsid w:val="00763BD6"/>
    <w:rsid w:val="0077389D"/>
    <w:rsid w:val="00774677"/>
    <w:rsid w:val="00781BBB"/>
    <w:rsid w:val="00796A35"/>
    <w:rsid w:val="007C3419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112AE"/>
    <w:rsid w:val="00932461"/>
    <w:rsid w:val="0096223C"/>
    <w:rsid w:val="00964FFF"/>
    <w:rsid w:val="009A0E98"/>
    <w:rsid w:val="009C28B1"/>
    <w:rsid w:val="009C4983"/>
    <w:rsid w:val="00A01155"/>
    <w:rsid w:val="00A12E9D"/>
    <w:rsid w:val="00A23E30"/>
    <w:rsid w:val="00A652A0"/>
    <w:rsid w:val="00AA3B85"/>
    <w:rsid w:val="00AA70E2"/>
    <w:rsid w:val="00AC301D"/>
    <w:rsid w:val="00AC6E4D"/>
    <w:rsid w:val="00AD21FC"/>
    <w:rsid w:val="00AD55DB"/>
    <w:rsid w:val="00AD5C10"/>
    <w:rsid w:val="00AE78CA"/>
    <w:rsid w:val="00AF4821"/>
    <w:rsid w:val="00AF751E"/>
    <w:rsid w:val="00B302FD"/>
    <w:rsid w:val="00B36AD8"/>
    <w:rsid w:val="00B468E6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44364"/>
    <w:rsid w:val="00EA0F17"/>
    <w:rsid w:val="00EB4A8F"/>
    <w:rsid w:val="00EC3FDB"/>
    <w:rsid w:val="00EC493F"/>
    <w:rsid w:val="00ED3784"/>
    <w:rsid w:val="00EF6753"/>
    <w:rsid w:val="00F04752"/>
    <w:rsid w:val="00F254A9"/>
    <w:rsid w:val="00F314EC"/>
    <w:rsid w:val="00F4312E"/>
    <w:rsid w:val="00F44B5F"/>
    <w:rsid w:val="00F45548"/>
    <w:rsid w:val="00F51BA6"/>
    <w:rsid w:val="00F7465C"/>
    <w:rsid w:val="00F917F9"/>
    <w:rsid w:val="00F93F65"/>
    <w:rsid w:val="00FA06A8"/>
    <w:rsid w:val="00FA3CAF"/>
    <w:rsid w:val="00FC2315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rsid w:val="00B36AD8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3</cp:revision>
  <cp:lastPrinted>2023-04-26T14:05:00Z</cp:lastPrinted>
  <dcterms:created xsi:type="dcterms:W3CDTF">2023-04-26T14:01:00Z</dcterms:created>
  <dcterms:modified xsi:type="dcterms:W3CDTF">2023-04-26T14:07:00Z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